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251 vom 8. März 1985</w:t>
      </w:r>
    </w:p>
    <w:p>
      <w:r>
        <w:t>Bundesgericht (BGE), 1985-03-08, IT</w:t>
      </w:r>
    </w:p>
    <w:p>
      <w:r>
        <w:rPr>
          <w:b/>
        </w:rPr>
        <w:t xml:space="preserve">Quelle: </w:t>
      </w:r>
      <w:r>
        <w:t>https://mcp.opencaselaw.ch/entscheid/bge_111 IA 251</w:t>
      </w:r>
    </w:p>
    <w:p>
      <w:r>
        <w:t>FR: BGE 111 IA 251 du 8 mars 1985</w:t>
      </w:r>
    </w:p>
    <w:p>
      <w:r>
        <w:t>IT: BGE 111 IA 251 del 8 marzo 1985</w:t>
      </w:r>
    </w:p>
    <w:p>
      <w:pPr>
        <w:pStyle w:val="Heading2"/>
      </w:pPr>
      <w:r>
        <w:t>Regeste</w:t>
      </w:r>
    </w:p>
    <w:p>
      <w:r>
        <w:t>Regeste Gemeindeautonomie im Bereich der Wohnsitzbestimmung? (Art. 64 BV, Art. 5 Abs. 1, 6 Abs. 1 und Art. 23 ZGB). 1. Legitimation der Gemeinden und öffentlichrechtlichen Körperschaften zur staatsrechtlichen Beschwerde gemäss Art. 88 OG im allgemeinen (Zusammenfassung der Rechtsprechung; E. 2). 2. Begriff der Gemeindeautonomie und Prüfungsbefugnis des Bundesgerichts im Rahmen einer staatsrechtlichen Beschwerde wegen Autonomieverletzung; im Bereich der Wohnsitzbestimmung räumt das Tessiner Recht so wenig wie im übrigen das Bundesrecht den Gemeinden Autonomie ein (E. 3).</w:t>
      </w:r>
    </w:p>
    <w:p>
      <w:pPr>
        <w:pStyle w:val="Heading2"/>
      </w:pPr>
      <w:r>
        <w:t>Volltext</w:t>
      </w:r>
    </w:p>
    <w:p>
      <w:r>
        <w:t>Urteilskopf 111 Ia 251 43. Estratto della sentenza 8 marzo 1985 della I Corte di diritto pubblico nella causa Comune di Barbengo contro Tribunale amministrativo del Cantone Ticino, Camponovo e Comune di Lamone (ricorso di diritto pubblico) Regeste Gemeindeautonomie im Bereich der Wohnsitzbestimmung? ( Art. 64 BV , Art. 5 Abs. 1, 6 Abs. 1 und Art. 23 ZGB ). 1. Legitimation der Gemeinden und öffentlichrechtlichen Körperschaften zur staatsrechtlichen Beschwerde gemäss Art. 88 OG im allgemeinen (Zusammenfassung der Rechtsprechung; E. 2). 2. Begriff der Gemeindeautonomie und Prüfungsbefugnis des Bundesgerichts im Rahmen einer staatsrechtlichen Beschwerde wegen Autonomieverletzung; im Bereich der Wohnsitzbestimmung räumt das Tessiner Recht so wenig wie im übrigen das Bundesrecht den Gemeinden Autonomie ein (E. 3). Sachverhalt ab Seite 251 BGE 111 Ia 251 S. 251 Dario Camponovo, celibe, è insegnante di scuola elementare presso il relativo Consorzio di Barbengo, Grancia e Carabietta. BGE 111 Ia 251 S. 252 Dal 1968 è domiciliato a Barbengo e nel 1973 ha locato un appartamento a Lamone. Membro del consiglio comunale, egli presiede a Barbengo la società di pallacanestro e fa parte del comitato direttivo di un'associazione locale per la protezione dell'ambiente e della natura. Pranza e cena regolarmente a Barbengo, ove è invitato dai genitori della fidanzata la domenica e durante le feste infrasettimanali. Nel 1973 il Comune di Lamone aveva chiesto alla cancelleria comunale di Barbengo il trapasso degli atti di domicilio riguardanti Camponovo. Senza esito, finché nel febbraio 1981 lo stesso Comune di Barbengo ha invitato l'ufficio controllo abitanti di Lamone a domandare il trasferimento di domicilio. Sentito l'interessato, il Comune di Lamone vi si è opposto. Con istanza del 5 giugno 1981 il Municipio di Barbengo ha adito il Consiglio di Stato del Cantone Ticino perché accertasse, come autorità di vigilanza sui comuni, il domicilio di Dario Camponovo. L'esecutivo cantonale si è risolto il 15 febbraio 1984 per il Comune di Lamone; nel contempo ha ordinato la radiazione dell'interessato dai cataloghi elettorali di Barbengo e la sua iscrizione in quelli di Lamone. Il 28 febbraio 1984 Dario Camponovo è insorto al Tribunale cantonale amministrativo, cui ha proposto di confermare il suo domicilio a Barbengo. La corte ha accolto l'impugnativa il 3 aprile 1984. L'11 maggio 1984 il Comune di Barbengo ha introdotto al Tribunale federale un ricorso di diritto pubblico per violazione della propria autonomia. Il Consiglio di Stato del Cantone Ticino si è rimesso al giudizio del Tribunale federale. Dario Camponovo e il Tribunale cantonale amministrativo hanno concluso per il rigetto di ogni censura. Il Comune di Lamone non si è pronunciato sul rimedio. Erwägungen Dai considerandi: 2. La legittimazione a deporre un ricorso di diritto pubblico dev'essere verificata d'ufficio ( DTF 110 Ia 74 consid. 1, 10 consid. 1a, DTF 109 Ia 172 consid. 4a, 170 consid. 3a, 118 consid. 2, 93). Ora, per giurisprudenza costante, la facoltà dell' art. 88 OG spetta alle corporazioni di diritto pubblico solo eccezionalmente, quando siano colpite da un atto d'imperio in condizioni di parità con altri soggetti giuridici o siano lese nella loro autonomia, esistenza o integrità territoriale ( DTF 109 Ia 174 , DTF 108 Ia 85 consid. 1b, DTF 103 Ia 59 consid. 1, BGE 111 Ia 251 S. 253 68 consid. 1a). Nella seconda ipotesi una corporazione pubblica può criticare anche l'inosservanza di taluni principi dedotti dall' art. 4 Cost. , sempre che la medesima sia intimamente legata alla trasgressione dell'autonomia, esistenza o integrità territoriale ( DTF 109 Ia 44 consid. 2a, DTF 107 Ia 178 consid. 1a, 104 Ia 387 consid. 1, 127). Se l'autonomia sussista e sia stata disattesa, è problema di merito, non di legittimazione ( DTF 109 Ia 44 consid. 2a, DTF 108 Ia 84 consid. 1a, DTF 107 Ia 178 consid. 1a). 3. L'art. 5 cpv. 1 della legge organica comunale del Canton Ticino (LOC) prescrive: È domiciliato in un comune il cittadino che vi risiede con l'intenzione di stabilirvisi durevolmente. Identica norma si ritrova all'art. 5 cpv. 1 della legge ticinese sull'esercizio del diritto di voto, sulle votazioni e sulle elezioni (LVE). Secondo il ricorrente, "la concessione del diritto di cittadinanza rientra nell'attività propria del Comune, il quale, in questo campo, ha notevole libertà di decisione". a) È vero che il concetto di domicilio enunciato dall'art. 5 cpv. 1 LOC permette un certo margine d'apprezzamento. Ciò non basta tuttavia per affermare che l'autorità di applicazione fruisce di una sfera autonoma costituzionalmente protetta. Il Tribunale federale ha già avuto modo di spiegare che un Comune beneficia di autonomia tutelabile con ricorso di diritto pubblico solo ove l'ordinamento cantonale non contempli una regolamentazione esaustiva e lasci al Comune un ragguardevole ambito di indipendenza ( DTF 109 Ia 45 consid. 2b, DTF 108 Ia 193 consid. 3, 86 consid. 2, 76 consid. 2a, DTF 108 Ib 238 consid. 3a). Poco importa che la materia in cui il Comune pretende d'essere autonomo sia regolata dal diritto federale, cantonale o comunale; è irrilevante altresì che la decisione impugnata emani da un'autorità di ricorso o di sorveglianza. Decisiva è la latitudine d'autonomia che la costituzione o la legislazione cantonale assicura al Comune nella materia specifica ( DTF 108 Ia 194 consid. 3). Da parte sua, il Tribunale federale vaglia la decisione querelata con libero esame se la disciplina che delimita l'autonomia del Comune è di diritto costituzionale; se si tratta di una legge cantonale, invece, il Tribunale federale limita la propria cognizione all'arbitrio ( DTF 109 Ia 45 consid. 2b, DTF 108 Ia 194 consid. 3, 76 consid. 2a, DTF 104 Ia 138 consid. 3a, 45 consid. 1). BGE 111 Ia 251 S. 254 b) In concreto né la costituzione ticinese, né la legge organica comunale né - del resto - la legge sull'esercizio del diritto di voto, sulle votazioni e sulle elezioni garantiscono ai Comuni la facoltà di decidere autonomamente chi risieda nel comprensorio comunale con l'intenzione di stabilirvisi durevolmente. Certo, il domicilio civile - regolato in maniera esclusiva dall' art. 23 CC ( art. 64 Cost. in relazione con l' art. 5 cpv. 1 CC ) - non tocca il diritto pubblico cantonale ( art. 6 cpv. 1 CC ) e non esclude, sotto questo profilo, una possibile autonomia dei Comuni. Anche la circostanza per cui, stando alla corte cantonale, gli art. 23 CC e 5 cpv. 1 LOC (rispettivamente 5 cpv. 1 LVE) coincidono nel loro significato (cfr. Rivista di diritto amministrativo ticinese, RDAT, 1982 pag. 73 n. 30 consid. 4d) non preclude di per sé ogni potere normativo o decisionale ai Comuni, quantunque in tema di concessione e rifiuto di domicilio il Comune ticinese agisca per mera competenza delegata (BORGHI, Giurisprudenza amministrativa ticinese, pag. 85 n. 214). Determinante è, nella specie, che il diritto cantonale non conferisce ai Comuni alcuna autonomia nella definizione del domicilio. Inoltre, pur prescindendo da tale rilievo, vi sarebbe da chiedersi in che potrebbe consistere simile autonomia: per vero, il solo fatto che due o più comuni siano abilitati a pronunciarsi sul domicilio di uno stesso soggetto giuridico contraddice a priori la nozione di sovranità (v. DTF 110 Ia 50 ). Dato che non si ravvisa, nel caso particolare, alcuna autonomia comunale, un'eventuale violazione della medesima risulta esclusa d'acchito. Non occorre quindi dirimere, nella prospettiva dell' art. 4 Cost. , il merito della controversia, segnatamente le considerazioni che hanno indotto la corte cantonale ad accertare il domicilio di Dario Camponovo a Barbengo. Dispositiv Per questi motivi,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